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88CF" w14:textId="590B5BF1" w:rsidR="00A906BC" w:rsidRDefault="00A906BC" w:rsidP="00A906BC">
      <w:r>
        <w:t xml:space="preserve">(wnioskodawca)                                                                                              Łubnice, dnia ………………………….. </w:t>
      </w:r>
    </w:p>
    <w:p w14:paraId="49E75F17" w14:textId="7767E9D4" w:rsidR="00A906BC" w:rsidRDefault="00A906BC" w:rsidP="00A906BC">
      <w:r>
        <w:t>………………………………..……</w:t>
      </w:r>
    </w:p>
    <w:p w14:paraId="4C37D2CA" w14:textId="68825ED4" w:rsidR="00A906BC" w:rsidRDefault="00A906BC" w:rsidP="00A906BC">
      <w:r>
        <w:t>……………………………..….…..</w:t>
      </w:r>
    </w:p>
    <w:p w14:paraId="2CC70F9D" w14:textId="6C7CDA22" w:rsidR="00A906BC" w:rsidRDefault="00A906BC" w:rsidP="00A906BC">
      <w:r>
        <w:t>………………………………….….</w:t>
      </w:r>
    </w:p>
    <w:p w14:paraId="42A2C6EE" w14:textId="79B678F7" w:rsidR="00A73DC0" w:rsidRPr="00A73DC0" w:rsidRDefault="00A73DC0" w:rsidP="00A73DC0">
      <w:pPr>
        <w:pStyle w:val="Bezodstpw"/>
        <w:ind w:firstLine="6237"/>
        <w:rPr>
          <w:b/>
          <w:bCs/>
        </w:rPr>
      </w:pPr>
      <w:r w:rsidRPr="00A73DC0">
        <w:rPr>
          <w:b/>
          <w:bCs/>
        </w:rPr>
        <w:t>Wójt Gminy Łubnice</w:t>
      </w:r>
    </w:p>
    <w:p w14:paraId="2E8673B0" w14:textId="20CEF822" w:rsidR="00A73DC0" w:rsidRPr="00A73DC0" w:rsidRDefault="00A73DC0" w:rsidP="00A73DC0">
      <w:pPr>
        <w:pStyle w:val="Bezodstpw"/>
        <w:ind w:firstLine="6237"/>
        <w:rPr>
          <w:b/>
          <w:bCs/>
        </w:rPr>
      </w:pPr>
      <w:r w:rsidRPr="00A73DC0">
        <w:rPr>
          <w:b/>
          <w:bCs/>
        </w:rPr>
        <w:t>ul. gen. Sikorskiego 102</w:t>
      </w:r>
    </w:p>
    <w:p w14:paraId="2BF3B279" w14:textId="3C74D41D" w:rsidR="00A73DC0" w:rsidRPr="00A73DC0" w:rsidRDefault="00A73DC0" w:rsidP="00A73DC0">
      <w:pPr>
        <w:pStyle w:val="Bezodstpw"/>
        <w:ind w:firstLine="6237"/>
        <w:rPr>
          <w:b/>
          <w:bCs/>
        </w:rPr>
      </w:pPr>
      <w:r w:rsidRPr="00A73DC0">
        <w:rPr>
          <w:b/>
          <w:bCs/>
        </w:rPr>
        <w:t>98-432 Łubnice</w:t>
      </w:r>
    </w:p>
    <w:p w14:paraId="149E7CA2" w14:textId="77777777" w:rsidR="00A906BC" w:rsidRPr="00A906BC" w:rsidRDefault="00A906BC" w:rsidP="00A906BC">
      <w:pPr>
        <w:jc w:val="center"/>
        <w:rPr>
          <w:b/>
          <w:bCs/>
        </w:rPr>
      </w:pPr>
      <w:r w:rsidRPr="00A906BC">
        <w:rPr>
          <w:b/>
          <w:bCs/>
        </w:rPr>
        <w:t>WNIOSEK</w:t>
      </w:r>
    </w:p>
    <w:p w14:paraId="1F1FFFE3" w14:textId="77777777" w:rsidR="00A906BC" w:rsidRPr="00A906BC" w:rsidRDefault="00A906BC" w:rsidP="00A906BC">
      <w:pPr>
        <w:jc w:val="center"/>
        <w:rPr>
          <w:b/>
          <w:bCs/>
        </w:rPr>
      </w:pPr>
      <w:r w:rsidRPr="00A906BC">
        <w:rPr>
          <w:b/>
          <w:bCs/>
        </w:rPr>
        <w:t>o wszczęcie postępowania rozgraniczeniowego</w:t>
      </w:r>
    </w:p>
    <w:p w14:paraId="29A86150" w14:textId="721B6D02" w:rsidR="00A906BC" w:rsidRDefault="00A73DC0" w:rsidP="00A906BC">
      <w:pPr>
        <w:jc w:val="both"/>
      </w:pPr>
      <w:r>
        <w:t>Na podstawie art. 30 ust. 1 ustawy z dnia 17 maja 1989r. Prawo Geodezyjne i Kartograficzne ( Dz. U. z 2023r. , poz. 1752 ze zm.) zwracam się z wnioskiem</w:t>
      </w:r>
      <w:r w:rsidR="00A906BC">
        <w:t xml:space="preserve"> o rozgranicze</w:t>
      </w:r>
      <w:r>
        <w:t>nie</w:t>
      </w:r>
      <w:r w:rsidR="00A906BC">
        <w:t xml:space="preserve"> nieruchomości położonej:</w:t>
      </w:r>
    </w:p>
    <w:p w14:paraId="3BA9F63B" w14:textId="70642CF9" w:rsidR="00A906BC" w:rsidRDefault="00A73DC0" w:rsidP="00A906BC">
      <w:pPr>
        <w:jc w:val="both"/>
      </w:pPr>
      <w:r>
        <w:t>miejscowość/</w:t>
      </w:r>
      <w:r w:rsidR="00A906BC">
        <w:t>ulica: …………………………………………………………………………………………………………………</w:t>
      </w:r>
    </w:p>
    <w:p w14:paraId="025809CF" w14:textId="19A742DC" w:rsidR="00A906BC" w:rsidRDefault="00A906BC" w:rsidP="00A906BC">
      <w:pPr>
        <w:jc w:val="both"/>
      </w:pPr>
      <w:r>
        <w:t>nr działki: ………………</w:t>
      </w:r>
      <w:r w:rsidR="00A73DC0">
        <w:t>…</w:t>
      </w:r>
      <w:r>
        <w:t>………… obręb: …………</w:t>
      </w:r>
      <w:r w:rsidR="00A73DC0">
        <w:t>……</w:t>
      </w:r>
      <w:r>
        <w:t xml:space="preserve">…………………….. </w:t>
      </w:r>
    </w:p>
    <w:p w14:paraId="067CEB8C" w14:textId="5B5F14D4" w:rsidR="00A906BC" w:rsidRDefault="00A906BC" w:rsidP="00A906BC">
      <w:pPr>
        <w:jc w:val="both"/>
      </w:pPr>
      <w:r>
        <w:t>własność: ………………………………………………………………………………………………………………………………….</w:t>
      </w:r>
    </w:p>
    <w:p w14:paraId="016506D3" w14:textId="3940901B" w:rsidR="00A906BC" w:rsidRDefault="00A906BC" w:rsidP="00A906BC">
      <w:pPr>
        <w:jc w:val="both"/>
      </w:pPr>
      <w:r>
        <w:t>nr księgi wieczystej: …………………………………………………………………………………………………………………..</w:t>
      </w:r>
    </w:p>
    <w:p w14:paraId="0070312C" w14:textId="796DCD92" w:rsidR="00A906BC" w:rsidRDefault="00A906BC" w:rsidP="00A906BC">
      <w:pPr>
        <w:jc w:val="both"/>
      </w:pPr>
      <w:r>
        <w:t xml:space="preserve">z nieruchomościami </w:t>
      </w:r>
      <w:r w:rsidR="00A73DC0">
        <w:t>sąsiednimi</w:t>
      </w:r>
      <w:r>
        <w:t>, oznaczonymi jako:</w:t>
      </w:r>
    </w:p>
    <w:tbl>
      <w:tblPr>
        <w:tblStyle w:val="Tabela-Siatka"/>
        <w:tblW w:w="9192" w:type="dxa"/>
        <w:tblLook w:val="04A0" w:firstRow="1" w:lastRow="0" w:firstColumn="1" w:lastColumn="0" w:noHBand="0" w:noVBand="1"/>
      </w:tblPr>
      <w:tblGrid>
        <w:gridCol w:w="2314"/>
        <w:gridCol w:w="2312"/>
        <w:gridCol w:w="2283"/>
        <w:gridCol w:w="2283"/>
      </w:tblGrid>
      <w:tr w:rsidR="00A73DC0" w14:paraId="6D1AAC56" w14:textId="02E0D248" w:rsidTr="00A73DC0">
        <w:trPr>
          <w:trHeight w:val="524"/>
        </w:trPr>
        <w:tc>
          <w:tcPr>
            <w:tcW w:w="2314" w:type="dxa"/>
          </w:tcPr>
          <w:p w14:paraId="51041BA9" w14:textId="33921B6D" w:rsidR="00A73DC0" w:rsidRDefault="00A73DC0" w:rsidP="00A906BC">
            <w:pPr>
              <w:jc w:val="center"/>
            </w:pPr>
            <w:r>
              <w:t>Nr działki</w:t>
            </w:r>
          </w:p>
        </w:tc>
        <w:tc>
          <w:tcPr>
            <w:tcW w:w="2312" w:type="dxa"/>
          </w:tcPr>
          <w:p w14:paraId="25A60501" w14:textId="69C2C76B" w:rsidR="00A73DC0" w:rsidRDefault="00A73DC0" w:rsidP="00A906BC">
            <w:pPr>
              <w:jc w:val="center"/>
            </w:pPr>
            <w:r>
              <w:t>obręb</w:t>
            </w:r>
          </w:p>
        </w:tc>
        <w:tc>
          <w:tcPr>
            <w:tcW w:w="2283" w:type="dxa"/>
          </w:tcPr>
          <w:p w14:paraId="1EDE34FF" w14:textId="20276314" w:rsidR="00A73DC0" w:rsidRDefault="00A73DC0" w:rsidP="00A906BC">
            <w:pPr>
              <w:jc w:val="center"/>
            </w:pPr>
            <w:r>
              <w:t>własność</w:t>
            </w:r>
          </w:p>
        </w:tc>
        <w:tc>
          <w:tcPr>
            <w:tcW w:w="2283" w:type="dxa"/>
          </w:tcPr>
          <w:p w14:paraId="05EFB4AE" w14:textId="55B14644" w:rsidR="00A73DC0" w:rsidRDefault="00A73DC0" w:rsidP="00A906BC">
            <w:pPr>
              <w:jc w:val="center"/>
            </w:pPr>
            <w:r>
              <w:t>Księga wieczysta</w:t>
            </w:r>
          </w:p>
        </w:tc>
      </w:tr>
      <w:tr w:rsidR="00A73DC0" w14:paraId="725B8D98" w14:textId="57F3243E" w:rsidTr="00A73DC0">
        <w:trPr>
          <w:trHeight w:val="524"/>
        </w:trPr>
        <w:tc>
          <w:tcPr>
            <w:tcW w:w="2314" w:type="dxa"/>
          </w:tcPr>
          <w:p w14:paraId="33524931" w14:textId="77777777" w:rsidR="00A73DC0" w:rsidRDefault="00A73DC0" w:rsidP="00A906BC">
            <w:pPr>
              <w:jc w:val="both"/>
            </w:pPr>
          </w:p>
        </w:tc>
        <w:tc>
          <w:tcPr>
            <w:tcW w:w="2312" w:type="dxa"/>
          </w:tcPr>
          <w:p w14:paraId="76CEB0A4" w14:textId="77777777" w:rsidR="00A73DC0" w:rsidRDefault="00A73DC0" w:rsidP="00A906BC">
            <w:pPr>
              <w:jc w:val="both"/>
            </w:pPr>
          </w:p>
        </w:tc>
        <w:tc>
          <w:tcPr>
            <w:tcW w:w="2283" w:type="dxa"/>
          </w:tcPr>
          <w:p w14:paraId="2157B280" w14:textId="77777777" w:rsidR="00A73DC0" w:rsidRDefault="00A73DC0" w:rsidP="00A906BC">
            <w:pPr>
              <w:jc w:val="both"/>
            </w:pPr>
          </w:p>
        </w:tc>
        <w:tc>
          <w:tcPr>
            <w:tcW w:w="2283" w:type="dxa"/>
          </w:tcPr>
          <w:p w14:paraId="25C255BA" w14:textId="77777777" w:rsidR="00A73DC0" w:rsidRDefault="00A73DC0" w:rsidP="00A906BC">
            <w:pPr>
              <w:jc w:val="both"/>
            </w:pPr>
          </w:p>
        </w:tc>
      </w:tr>
      <w:tr w:rsidR="00A73DC0" w14:paraId="027185AF" w14:textId="2B5F8AC0" w:rsidTr="00A73DC0">
        <w:trPr>
          <w:trHeight w:val="549"/>
        </w:trPr>
        <w:tc>
          <w:tcPr>
            <w:tcW w:w="2314" w:type="dxa"/>
          </w:tcPr>
          <w:p w14:paraId="57D08DB4" w14:textId="77777777" w:rsidR="00A73DC0" w:rsidRDefault="00A73DC0" w:rsidP="00A906BC">
            <w:pPr>
              <w:jc w:val="both"/>
            </w:pPr>
          </w:p>
        </w:tc>
        <w:tc>
          <w:tcPr>
            <w:tcW w:w="2312" w:type="dxa"/>
          </w:tcPr>
          <w:p w14:paraId="76D91E6F" w14:textId="77777777" w:rsidR="00A73DC0" w:rsidRDefault="00A73DC0" w:rsidP="00A906BC">
            <w:pPr>
              <w:jc w:val="both"/>
            </w:pPr>
          </w:p>
        </w:tc>
        <w:tc>
          <w:tcPr>
            <w:tcW w:w="2283" w:type="dxa"/>
          </w:tcPr>
          <w:p w14:paraId="6EE71FA8" w14:textId="77777777" w:rsidR="00A73DC0" w:rsidRDefault="00A73DC0" w:rsidP="00A906BC">
            <w:pPr>
              <w:jc w:val="both"/>
            </w:pPr>
          </w:p>
        </w:tc>
        <w:tc>
          <w:tcPr>
            <w:tcW w:w="2283" w:type="dxa"/>
          </w:tcPr>
          <w:p w14:paraId="0B5ABAD9" w14:textId="77777777" w:rsidR="00A73DC0" w:rsidRDefault="00A73DC0" w:rsidP="00A906BC">
            <w:pPr>
              <w:jc w:val="both"/>
            </w:pPr>
          </w:p>
        </w:tc>
      </w:tr>
      <w:tr w:rsidR="00A73DC0" w14:paraId="1B5FCCB9" w14:textId="32BEDB2B" w:rsidTr="00A73DC0">
        <w:trPr>
          <w:trHeight w:val="549"/>
        </w:trPr>
        <w:tc>
          <w:tcPr>
            <w:tcW w:w="2314" w:type="dxa"/>
          </w:tcPr>
          <w:p w14:paraId="3D53F089" w14:textId="77777777" w:rsidR="00A73DC0" w:rsidRDefault="00A73DC0" w:rsidP="00A906BC">
            <w:pPr>
              <w:jc w:val="both"/>
            </w:pPr>
          </w:p>
        </w:tc>
        <w:tc>
          <w:tcPr>
            <w:tcW w:w="2312" w:type="dxa"/>
          </w:tcPr>
          <w:p w14:paraId="583F9C66" w14:textId="77777777" w:rsidR="00A73DC0" w:rsidRDefault="00A73DC0" w:rsidP="00A906BC">
            <w:pPr>
              <w:jc w:val="both"/>
            </w:pPr>
          </w:p>
        </w:tc>
        <w:tc>
          <w:tcPr>
            <w:tcW w:w="2283" w:type="dxa"/>
          </w:tcPr>
          <w:p w14:paraId="786CC602" w14:textId="77777777" w:rsidR="00A73DC0" w:rsidRDefault="00A73DC0" w:rsidP="00A906BC">
            <w:pPr>
              <w:jc w:val="both"/>
            </w:pPr>
          </w:p>
        </w:tc>
        <w:tc>
          <w:tcPr>
            <w:tcW w:w="2283" w:type="dxa"/>
          </w:tcPr>
          <w:p w14:paraId="5EEACD45" w14:textId="77777777" w:rsidR="00A73DC0" w:rsidRDefault="00A73DC0" w:rsidP="00A906BC">
            <w:pPr>
              <w:jc w:val="both"/>
            </w:pPr>
          </w:p>
        </w:tc>
      </w:tr>
      <w:tr w:rsidR="00A73DC0" w14:paraId="1BC91832" w14:textId="70D1C94C" w:rsidTr="00A73DC0">
        <w:trPr>
          <w:trHeight w:val="524"/>
        </w:trPr>
        <w:tc>
          <w:tcPr>
            <w:tcW w:w="2314" w:type="dxa"/>
          </w:tcPr>
          <w:p w14:paraId="453D9C9D" w14:textId="77777777" w:rsidR="00A73DC0" w:rsidRDefault="00A73DC0" w:rsidP="00A906BC">
            <w:pPr>
              <w:jc w:val="both"/>
            </w:pPr>
          </w:p>
        </w:tc>
        <w:tc>
          <w:tcPr>
            <w:tcW w:w="2312" w:type="dxa"/>
          </w:tcPr>
          <w:p w14:paraId="67AE10D8" w14:textId="77777777" w:rsidR="00A73DC0" w:rsidRDefault="00A73DC0" w:rsidP="00A906BC">
            <w:pPr>
              <w:jc w:val="both"/>
            </w:pPr>
          </w:p>
        </w:tc>
        <w:tc>
          <w:tcPr>
            <w:tcW w:w="2283" w:type="dxa"/>
          </w:tcPr>
          <w:p w14:paraId="7B3F0C85" w14:textId="77777777" w:rsidR="00A73DC0" w:rsidRDefault="00A73DC0" w:rsidP="00A906BC">
            <w:pPr>
              <w:jc w:val="both"/>
            </w:pPr>
          </w:p>
        </w:tc>
        <w:tc>
          <w:tcPr>
            <w:tcW w:w="2283" w:type="dxa"/>
          </w:tcPr>
          <w:p w14:paraId="3B2464C4" w14:textId="77777777" w:rsidR="00A73DC0" w:rsidRDefault="00A73DC0" w:rsidP="00A906BC">
            <w:pPr>
              <w:jc w:val="both"/>
            </w:pPr>
          </w:p>
        </w:tc>
      </w:tr>
    </w:tbl>
    <w:p w14:paraId="4496B7ED" w14:textId="77777777" w:rsidR="00A906BC" w:rsidRDefault="00A906BC" w:rsidP="00A906BC">
      <w:pPr>
        <w:jc w:val="both"/>
      </w:pPr>
    </w:p>
    <w:p w14:paraId="411C5B32" w14:textId="591C0DFD" w:rsidR="00A73DC0" w:rsidRDefault="00A73DC0" w:rsidP="00A906BC">
      <w:pPr>
        <w:jc w:val="both"/>
      </w:pPr>
      <w:r>
        <w:t>Do czynności ustalenia przebiegu granic zostanie upoważniony przez Wójta Gminy Łubnice uprawniony geodeta wskazany przez organ.</w:t>
      </w:r>
    </w:p>
    <w:p w14:paraId="11CCD9B8" w14:textId="4E04145F" w:rsidR="00A906BC" w:rsidRDefault="00A906BC" w:rsidP="00A906BC">
      <w:pPr>
        <w:jc w:val="right"/>
      </w:pPr>
      <w:r>
        <w:t>………………………………………………</w:t>
      </w:r>
    </w:p>
    <w:p w14:paraId="137FC116" w14:textId="30EF5AA2" w:rsidR="00E37EEC" w:rsidRPr="00E37EEC" w:rsidRDefault="00A906BC" w:rsidP="00A73DC0">
      <w:pPr>
        <w:jc w:val="right"/>
      </w:pPr>
      <w:r>
        <w:t xml:space="preserve">(podpis wnioskodawcy) </w:t>
      </w:r>
    </w:p>
    <w:p w14:paraId="6EC50293" w14:textId="77777777" w:rsidR="00E37EEC" w:rsidRPr="00E37EEC" w:rsidRDefault="00E37EEC" w:rsidP="00E37EEC"/>
    <w:p w14:paraId="1177FB6C" w14:textId="77777777" w:rsidR="00E37EEC" w:rsidRPr="00E37EEC" w:rsidRDefault="00E37EEC" w:rsidP="00A73DC0">
      <w:pPr>
        <w:pStyle w:val="Bezodstpw"/>
      </w:pPr>
    </w:p>
    <w:p w14:paraId="1366395B" w14:textId="77777777" w:rsidR="003D6EE0" w:rsidRPr="003D6EE0" w:rsidRDefault="003D6EE0" w:rsidP="00A73DC0">
      <w:pPr>
        <w:pStyle w:val="Bezodstpw"/>
      </w:pPr>
      <w:r w:rsidRPr="003D6EE0">
        <w:t>Załączniki do wniosku:</w:t>
      </w:r>
    </w:p>
    <w:p w14:paraId="53B32469" w14:textId="77777777" w:rsidR="003D6EE0" w:rsidRPr="003D6EE0" w:rsidRDefault="003D6EE0" w:rsidP="00A73DC0">
      <w:pPr>
        <w:pStyle w:val="Bezodstpw"/>
      </w:pPr>
      <w:r w:rsidRPr="003D6EE0">
        <w:t>1) dokument stwierdzający tytuł prawny do nieruchomości</w:t>
      </w:r>
    </w:p>
    <w:p w14:paraId="1A88AD82" w14:textId="77777777" w:rsidR="003D6EE0" w:rsidRPr="003D6EE0" w:rsidRDefault="003D6EE0" w:rsidP="00A73DC0">
      <w:pPr>
        <w:pStyle w:val="Bezodstpw"/>
      </w:pPr>
      <w:r w:rsidRPr="003D6EE0">
        <w:t>2) wypis z rejestru ewidencji gruntów dla nieruchomości objętych wnioskiem</w:t>
      </w:r>
    </w:p>
    <w:p w14:paraId="08751425" w14:textId="77777777" w:rsidR="003D6EE0" w:rsidRPr="003D6EE0" w:rsidRDefault="003D6EE0" w:rsidP="00A73DC0">
      <w:pPr>
        <w:pStyle w:val="Bezodstpw"/>
      </w:pPr>
      <w:r w:rsidRPr="003D6EE0">
        <w:t>3) kopia mapy ewidencyjnej z określeniem spornego odcinka granicy</w:t>
      </w:r>
    </w:p>
    <w:p w14:paraId="7E5FCF9A" w14:textId="58D65AE8" w:rsidR="00E37EEC" w:rsidRDefault="00E37EEC" w:rsidP="00E37EEC">
      <w:r>
        <w:br w:type="page"/>
      </w:r>
    </w:p>
    <w:p w14:paraId="41F88B1E" w14:textId="77777777" w:rsidR="00E37EEC" w:rsidRDefault="00E37EEC" w:rsidP="00E37EEC">
      <w:pPr>
        <w:pStyle w:val="NormalnyWeb"/>
        <w:shd w:val="clear" w:color="auto" w:fill="FFFFFF"/>
        <w:jc w:val="center"/>
        <w:textAlignment w:val="baseline"/>
        <w:rPr>
          <w:rFonts w:ascii="Calibri" w:hAnsi="Calibri" w:cs="Calibri"/>
          <w:b/>
          <w:bCs/>
          <w:sz w:val="20"/>
          <w:szCs w:val="20"/>
        </w:rPr>
      </w:pPr>
      <w:r>
        <w:rPr>
          <w:rFonts w:ascii="Calibri" w:hAnsi="Calibri" w:cs="Calibri"/>
          <w:b/>
          <w:bCs/>
          <w:sz w:val="20"/>
          <w:szCs w:val="20"/>
        </w:rPr>
        <w:lastRenderedPageBreak/>
        <w:t>Klauzula informacyjna</w:t>
      </w:r>
    </w:p>
    <w:p w14:paraId="76FDE153" w14:textId="77777777" w:rsidR="00E37EEC" w:rsidRDefault="00E37EEC" w:rsidP="00E37EEC">
      <w:pPr>
        <w:pStyle w:val="NormalnyWeb"/>
        <w:shd w:val="clear" w:color="auto" w:fill="FFFFFF"/>
        <w:jc w:val="center"/>
        <w:textAlignment w:val="baseline"/>
        <w:rPr>
          <w:rFonts w:ascii="Calibri" w:hAnsi="Calibri" w:cs="Calibri"/>
          <w:sz w:val="20"/>
          <w:szCs w:val="20"/>
        </w:rPr>
      </w:pPr>
      <w:r>
        <w:rPr>
          <w:rFonts w:ascii="Calibri" w:hAnsi="Calibri" w:cs="Calibri"/>
          <w:sz w:val="20"/>
          <w:szCs w:val="20"/>
        </w:rPr>
        <w:t xml:space="preserve">(rozgraniczenie nieruchomości) </w:t>
      </w:r>
    </w:p>
    <w:p w14:paraId="04BA2EC8" w14:textId="77777777" w:rsidR="00E37EEC" w:rsidRDefault="00E37EEC" w:rsidP="00E37EEC">
      <w:pPr>
        <w:pStyle w:val="NormalnyWeb"/>
        <w:shd w:val="clear" w:color="auto" w:fill="FFFFFF"/>
        <w:jc w:val="both"/>
        <w:textAlignment w:val="baseline"/>
        <w:rPr>
          <w:rFonts w:ascii="Calibri" w:hAnsi="Calibri" w:cs="Calibri"/>
          <w:sz w:val="20"/>
          <w:szCs w:val="20"/>
        </w:rPr>
      </w:pPr>
      <w:r>
        <w:rPr>
          <w:rFonts w:ascii="Calibri" w:hAnsi="Calibri" w:cs="Calibri"/>
          <w:sz w:val="20"/>
          <w:szCs w:val="20"/>
        </w:rPr>
        <w:t xml:space="preserve">Wypełniając obowiązek informacyjny wynikający z art. 13 ust. 1 i 2 rozporządzenia </w:t>
      </w:r>
      <w:proofErr w:type="spellStart"/>
      <w:r>
        <w:rPr>
          <w:rFonts w:ascii="Calibri" w:hAnsi="Calibri" w:cs="Calibri"/>
          <w:sz w:val="20"/>
          <w:szCs w:val="20"/>
        </w:rPr>
        <w:t>PEiR</w:t>
      </w:r>
      <w:proofErr w:type="spellEnd"/>
      <w:r>
        <w:rPr>
          <w:rFonts w:ascii="Calibri" w:hAnsi="Calibri" w:cs="Calibri"/>
          <w:sz w:val="20"/>
          <w:szCs w:val="20"/>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Pr>
          <w:rFonts w:ascii="Calibri" w:hAnsi="Calibri" w:cs="Calibri"/>
          <w:sz w:val="20"/>
          <w:szCs w:val="20"/>
        </w:rPr>
        <w:t>Dz.Urz</w:t>
      </w:r>
      <w:proofErr w:type="spellEnd"/>
      <w:r>
        <w:rPr>
          <w:rFonts w:ascii="Calibri" w:hAnsi="Calibri" w:cs="Calibri"/>
          <w:sz w:val="20"/>
          <w:szCs w:val="20"/>
        </w:rPr>
        <w:t>. UE. L. z 2016 r. Nr 119, s. 1, ze zm.) – dalej RODO, informuję że:</w:t>
      </w:r>
    </w:p>
    <w:p w14:paraId="75A16B6C" w14:textId="77777777" w:rsidR="00E37EEC" w:rsidRDefault="00E37EEC" w:rsidP="00E37EEC">
      <w:pPr>
        <w:pStyle w:val="NormalnyWeb"/>
        <w:shd w:val="clear" w:color="auto" w:fill="FFFFFF"/>
        <w:jc w:val="both"/>
        <w:textAlignment w:val="baseline"/>
        <w:rPr>
          <w:rFonts w:ascii="Calibri" w:hAnsi="Calibri" w:cs="Calibri"/>
          <w:sz w:val="20"/>
          <w:szCs w:val="20"/>
        </w:rPr>
      </w:pPr>
    </w:p>
    <w:p w14:paraId="4CA2F3FD" w14:textId="77777777" w:rsidR="00E37EEC" w:rsidRDefault="00E37EEC" w:rsidP="00E37EEC">
      <w:pPr>
        <w:pStyle w:val="Akapitzlist"/>
        <w:numPr>
          <w:ilvl w:val="0"/>
          <w:numId w:val="2"/>
        </w:numPr>
        <w:autoSpaceDN w:val="0"/>
        <w:spacing w:after="0" w:line="240" w:lineRule="auto"/>
        <w:jc w:val="both"/>
        <w:rPr>
          <w:rFonts w:ascii="Calibri" w:hAnsi="Calibri" w:cs="Calibri"/>
          <w:b/>
          <w:bCs/>
          <w:sz w:val="20"/>
          <w:szCs w:val="20"/>
        </w:rPr>
      </w:pPr>
      <w:r>
        <w:rPr>
          <w:rFonts w:cs="Calibri"/>
          <w:b/>
          <w:bCs/>
          <w:sz w:val="20"/>
          <w:szCs w:val="20"/>
        </w:rPr>
        <w:t xml:space="preserve">Administrator danych osobowych </w:t>
      </w:r>
    </w:p>
    <w:p w14:paraId="2276FE2A"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Urząd Gminy Łubnice, ul. gen. Sikorskiego 102, 98-432 Łubnice, adres e-mail: uglubnice@uglubnice.com.pl, tel. 62 784 70 27</w:t>
      </w:r>
    </w:p>
    <w:p w14:paraId="4A014F26"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Inspektor ochrony danych</w:t>
      </w:r>
    </w:p>
    <w:p w14:paraId="2F463FFE"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Kontakt: numer telefonu: 727931623 lub adres  e-mail: iodo@uglubnice.com.pl</w:t>
      </w:r>
    </w:p>
    <w:p w14:paraId="3511CF49"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Cele i podstawy przetwarzania danych osobowych</w:t>
      </w:r>
    </w:p>
    <w:p w14:paraId="0749FF76"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Dane osobowe przetwarzane będą w celu rozpatrzenia wniosku o rozgraniczenie nieruchomości na podstawie ustawy z 17 maja 1989 r. Prawo geodezyjne i kartograficzne  i ustawy z dnia 14 czerwca 1960 r. Kodeks postepowania administracyjnego w zakresie niezbędnym do wypełnienia obowiązku prawnego ciążącego na administratorze (art. 6 ust. 1 lit. c RODO).</w:t>
      </w:r>
    </w:p>
    <w:p w14:paraId="3CDA0079"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 xml:space="preserve">Odbiorcy danych osobowych </w:t>
      </w:r>
    </w:p>
    <w:p w14:paraId="1250FB0D"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Dane osobowe mogą być przekazane wyłącznie podmiotom uprawnionym do ich przetwarzania na podstawie przepisów prawa. Dane osobowe będą udostępnione podmiotom zapewniającym, na podstawie umów zawartych przez administratora (w tym umowy powierzenia przetwarzania danych osobowych), obsługę działalności administratora. Ponadto dane osobowe mogą być udostępniane w Biuletynie Informacji Publicznej oraz udostępniane uprawnionym organom.</w:t>
      </w:r>
    </w:p>
    <w:p w14:paraId="47BBD413"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Przekazywanie danych do państw trzecich lub organizacji międzynarodowych</w:t>
      </w:r>
    </w:p>
    <w:p w14:paraId="0BC3B925"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Państwa dane osobowe nie będą przekazywane do państw trzecich ani do organizacji międzynarodowej.</w:t>
      </w:r>
    </w:p>
    <w:p w14:paraId="6EA2648E"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Okres przechowywania danych osobowych</w:t>
      </w:r>
    </w:p>
    <w:p w14:paraId="66F88A8D" w14:textId="77777777" w:rsidR="00E37EEC" w:rsidRDefault="00E37EEC" w:rsidP="00E37EEC">
      <w:pPr>
        <w:pStyle w:val="Akapitzlist"/>
        <w:ind w:left="360"/>
        <w:jc w:val="both"/>
        <w:rPr>
          <w:rFonts w:cs="Calibri"/>
          <w:sz w:val="20"/>
          <w:szCs w:val="20"/>
        </w:rPr>
      </w:pPr>
      <w:r>
        <w:rPr>
          <w:rFonts w:cs="Calibri"/>
          <w:sz w:val="20"/>
          <w:szCs w:val="20"/>
        </w:rPr>
        <w:t>Dane osobowe przetwarzane przez czas wymagany przepisami prawa, tj. okres niezbędny do rozpatrzenia sprawy o rozgraniczenie nieruchomości, a w razie wszczęcia postępowania administracyjnego w tej sprawie, na czas trwania tego postępowania, a następnie przez okres obowiązkowej archiwizacji zgodnie z przepisami ustawy z dnia 14 lipca 1983 r. o narodowym zasobie archiwalnym i archiwach.</w:t>
      </w:r>
    </w:p>
    <w:p w14:paraId="67E843DF"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 xml:space="preserve">Zakres przysługujących uprawnień </w:t>
      </w:r>
    </w:p>
    <w:p w14:paraId="5480BD7E" w14:textId="77777777" w:rsidR="00E37EEC" w:rsidRDefault="00E37EEC" w:rsidP="00E37EEC">
      <w:pPr>
        <w:pStyle w:val="Akapitzlist"/>
        <w:ind w:left="360"/>
        <w:jc w:val="both"/>
        <w:rPr>
          <w:rFonts w:cs="Calibri"/>
          <w:sz w:val="20"/>
          <w:szCs w:val="20"/>
        </w:rPr>
      </w:pPr>
      <w:r>
        <w:rPr>
          <w:rFonts w:cs="Calibri"/>
          <w:sz w:val="20"/>
          <w:szCs w:val="20"/>
        </w:rPr>
        <w:t>Mają Państwo prawo do żądania dostępu do swoich danych osobowych, a także ich sprostowania (poprawiania). Przysługuje Państwu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69F271CC"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Informacje o prawie wniesienia skargi do organu nadzorczego</w:t>
      </w:r>
    </w:p>
    <w:p w14:paraId="150495F3"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W razie powzięcia informacji o niezgodnym z prawem przetwarzaniu danych osobowych, przysługuje Państwu prawo wniesienia skargi do organu nadzorczego właściwego w sprawach ochrony danych osobowych Prezesa Urzędu Ochrony Danych Osobowych w Warszawie przy ul. Stawki 2, 00-193 Warszawa.</w:t>
      </w:r>
    </w:p>
    <w:p w14:paraId="6BF941E6" w14:textId="77777777" w:rsidR="00E37EEC" w:rsidRDefault="00E37EEC" w:rsidP="00E37EEC">
      <w:pPr>
        <w:pStyle w:val="Akapitzlist"/>
        <w:numPr>
          <w:ilvl w:val="0"/>
          <w:numId w:val="2"/>
        </w:numPr>
        <w:autoSpaceDN w:val="0"/>
        <w:spacing w:after="0" w:line="240" w:lineRule="auto"/>
        <w:jc w:val="both"/>
        <w:rPr>
          <w:rFonts w:cs="Calibri"/>
          <w:b/>
          <w:bCs/>
          <w:sz w:val="20"/>
          <w:szCs w:val="20"/>
        </w:rPr>
      </w:pPr>
      <w:r>
        <w:rPr>
          <w:rFonts w:cs="Calibri"/>
          <w:b/>
          <w:bCs/>
          <w:sz w:val="20"/>
          <w:szCs w:val="20"/>
        </w:rPr>
        <w:t>Informacja o wymogu/dobrowolności podania danych</w:t>
      </w:r>
    </w:p>
    <w:p w14:paraId="5461FE5A" w14:textId="77777777" w:rsidR="00E37EEC" w:rsidRDefault="00E37EEC" w:rsidP="00E37EEC">
      <w:pPr>
        <w:pStyle w:val="Akapitzlist"/>
        <w:spacing w:after="0" w:line="240" w:lineRule="auto"/>
        <w:ind w:left="360"/>
        <w:jc w:val="both"/>
        <w:rPr>
          <w:rFonts w:cs="Calibri"/>
          <w:sz w:val="20"/>
          <w:szCs w:val="20"/>
        </w:rPr>
      </w:pPr>
      <w:r>
        <w:rPr>
          <w:rFonts w:cs="Calibri"/>
          <w:sz w:val="20"/>
          <w:szCs w:val="20"/>
        </w:rPr>
        <w:t>Podanie danych osobowych jest wymogiem ustawowym.</w:t>
      </w:r>
    </w:p>
    <w:p w14:paraId="077EC029" w14:textId="77777777" w:rsidR="00E37EEC" w:rsidRPr="00E37EEC" w:rsidRDefault="00E37EEC" w:rsidP="00E37EEC">
      <w:pPr>
        <w:ind w:firstLine="708"/>
      </w:pPr>
    </w:p>
    <w:sectPr w:rsidR="00E37EEC" w:rsidRPr="00E37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32F61"/>
    <w:multiLevelType w:val="hybridMultilevel"/>
    <w:tmpl w:val="BB46F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A31B43"/>
    <w:multiLevelType w:val="hybridMultilevel"/>
    <w:tmpl w:val="93909BF4"/>
    <w:lvl w:ilvl="0" w:tplc="6532CE4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28423550">
    <w:abstractNumId w:val="0"/>
  </w:num>
  <w:num w:numId="2" w16cid:durableId="1719888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BC"/>
    <w:rsid w:val="003D6EE0"/>
    <w:rsid w:val="0051613D"/>
    <w:rsid w:val="0063109A"/>
    <w:rsid w:val="008C5895"/>
    <w:rsid w:val="008E3F86"/>
    <w:rsid w:val="00A73DC0"/>
    <w:rsid w:val="00A906BC"/>
    <w:rsid w:val="00C84F4B"/>
    <w:rsid w:val="00E20979"/>
    <w:rsid w:val="00E3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B149"/>
  <w15:chartTrackingRefBased/>
  <w15:docId w15:val="{92F16C13-7C8D-4BC7-A779-702E891E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9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06BC"/>
    <w:pPr>
      <w:ind w:left="720"/>
      <w:contextualSpacing/>
    </w:pPr>
  </w:style>
  <w:style w:type="paragraph" w:styleId="NormalnyWeb">
    <w:name w:val="Normal (Web)"/>
    <w:basedOn w:val="Normalny"/>
    <w:uiPriority w:val="99"/>
    <w:semiHidden/>
    <w:unhideWhenUsed/>
    <w:rsid w:val="00E37EEC"/>
    <w:pPr>
      <w:suppressAutoHyphens/>
      <w:autoSpaceDE w:val="0"/>
      <w:autoSpaceDN w:val="0"/>
      <w:adjustRightInd w:val="0"/>
      <w:spacing w:before="100" w:beforeAutospacing="1" w:after="100" w:afterAutospacing="1" w:line="240" w:lineRule="auto"/>
    </w:pPr>
    <w:rPr>
      <w:rFonts w:ascii="Times New Roman" w:eastAsia="Times New Roman" w:hAnsi="Liberation Serif" w:cs="Times New Roman"/>
      <w:sz w:val="24"/>
      <w:szCs w:val="24"/>
      <w:lang w:eastAsia="pl-PL"/>
      <w14:ligatures w14:val="none"/>
    </w:rPr>
  </w:style>
  <w:style w:type="paragraph" w:styleId="Bezodstpw">
    <w:name w:val="No Spacing"/>
    <w:uiPriority w:val="1"/>
    <w:qFormat/>
    <w:rsid w:val="00A73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2394">
      <w:bodyDiv w:val="1"/>
      <w:marLeft w:val="0"/>
      <w:marRight w:val="0"/>
      <w:marTop w:val="0"/>
      <w:marBottom w:val="0"/>
      <w:divBdr>
        <w:top w:val="none" w:sz="0" w:space="0" w:color="auto"/>
        <w:left w:val="none" w:sz="0" w:space="0" w:color="auto"/>
        <w:bottom w:val="none" w:sz="0" w:space="0" w:color="auto"/>
        <w:right w:val="none" w:sz="0" w:space="0" w:color="auto"/>
      </w:divBdr>
    </w:div>
    <w:div w:id="2553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3708</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KM. Maciejewska</dc:creator>
  <cp:keywords/>
  <dc:description/>
  <cp:lastModifiedBy>Kinga KM. Maciejewska</cp:lastModifiedBy>
  <cp:revision>4</cp:revision>
  <dcterms:created xsi:type="dcterms:W3CDTF">2024-06-19T07:39:00Z</dcterms:created>
  <dcterms:modified xsi:type="dcterms:W3CDTF">2024-06-20T06:08:00Z</dcterms:modified>
</cp:coreProperties>
</file>